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8B35" w14:textId="194C1ED1" w:rsidR="00780A88" w:rsidRDefault="009942F5" w:rsidP="00A855D7">
      <w:pPr>
        <w:spacing w:line="36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Ćwiczenie: jak dobrze znasz prawa dziecka?</w:t>
      </w:r>
    </w:p>
    <w:p w14:paraId="7781B4E4" w14:textId="301EE2E9" w:rsidR="009942F5" w:rsidRDefault="009942F5" w:rsidP="00A855D7">
      <w:pPr>
        <w:spacing w:line="36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Uczestnicy: </w:t>
      </w:r>
      <w:r w:rsidRPr="009942F5">
        <w:rPr>
          <w:rFonts w:ascii="Georgia" w:hAnsi="Georgia"/>
        </w:rPr>
        <w:t>Uczniowie od 7 klasy szkoły podstawowej</w:t>
      </w:r>
      <w:r>
        <w:rPr>
          <w:rFonts w:ascii="Georgia" w:hAnsi="Georgia"/>
          <w:b/>
          <w:bCs/>
        </w:rPr>
        <w:t xml:space="preserve"> </w:t>
      </w:r>
    </w:p>
    <w:p w14:paraId="460428B6" w14:textId="6957C724" w:rsidR="009942F5" w:rsidRDefault="009942F5" w:rsidP="00A855D7">
      <w:pPr>
        <w:spacing w:line="36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Cele:</w:t>
      </w:r>
    </w:p>
    <w:p w14:paraId="267E2425" w14:textId="458473F6" w:rsidR="009942F5" w:rsidRPr="009942F5" w:rsidRDefault="009942F5" w:rsidP="00A855D7">
      <w:pPr>
        <w:pStyle w:val="Akapitzlist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9942F5">
        <w:rPr>
          <w:rFonts w:ascii="Georgia" w:hAnsi="Georgia"/>
        </w:rPr>
        <w:t>Zapoznanie uczniów z pracą Rzecznika Praw Dziecka</w:t>
      </w:r>
    </w:p>
    <w:p w14:paraId="09A37860" w14:textId="39B62233" w:rsidR="009942F5" w:rsidRPr="009942F5" w:rsidRDefault="009942F5" w:rsidP="00A855D7">
      <w:pPr>
        <w:pStyle w:val="Akapitzlist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9942F5">
        <w:rPr>
          <w:rFonts w:ascii="Georgia" w:hAnsi="Georgia"/>
        </w:rPr>
        <w:t>Nauka składania wniosków do Rzecznika Praw Dziecka</w:t>
      </w:r>
    </w:p>
    <w:p w14:paraId="4901D810" w14:textId="07C765F4" w:rsidR="009942F5" w:rsidRDefault="009942F5" w:rsidP="00A855D7">
      <w:pPr>
        <w:pStyle w:val="Akapitzlist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9942F5">
        <w:rPr>
          <w:rFonts w:ascii="Georgia" w:hAnsi="Georgia"/>
        </w:rPr>
        <w:t xml:space="preserve">Aktywizacja uczniów w kwestii reagowania na niepożądane zachowania </w:t>
      </w:r>
    </w:p>
    <w:p w14:paraId="6D8BCA72" w14:textId="69B2896B" w:rsidR="009942F5" w:rsidRPr="00A855D7" w:rsidRDefault="009942F5" w:rsidP="00A855D7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Materiały: </w:t>
      </w:r>
      <w:r w:rsidR="005A6E02">
        <w:rPr>
          <w:rFonts w:ascii="Georgia" w:hAnsi="Georgia"/>
        </w:rPr>
        <w:t xml:space="preserve">kulki w dwóch kolorach, </w:t>
      </w:r>
      <w:r w:rsidR="007C6D8B">
        <w:rPr>
          <w:rFonts w:ascii="Georgia" w:hAnsi="Georgia"/>
        </w:rPr>
        <w:t>worek,</w:t>
      </w:r>
      <w:r w:rsidR="005A6E02">
        <w:rPr>
          <w:rFonts w:ascii="Georgia" w:hAnsi="Georgia"/>
        </w:rPr>
        <w:t xml:space="preserve"> wycinanka,</w:t>
      </w:r>
      <w:r w:rsidR="007C6D8B">
        <w:rPr>
          <w:rFonts w:ascii="Georgia" w:hAnsi="Georgia"/>
        </w:rPr>
        <w:t xml:space="preserve"> </w:t>
      </w:r>
      <w:r>
        <w:rPr>
          <w:rFonts w:ascii="Georgia" w:hAnsi="Georgia"/>
        </w:rPr>
        <w:t>tablica,</w:t>
      </w:r>
      <w:r w:rsidR="005A6E02">
        <w:rPr>
          <w:rFonts w:ascii="Georgia" w:hAnsi="Georgia"/>
        </w:rPr>
        <w:t xml:space="preserve"> rzutnik, komputer z</w:t>
      </w:r>
      <w:r w:rsidR="00A855D7">
        <w:rPr>
          <w:rFonts w:ascii="Georgia" w:hAnsi="Georgia"/>
        </w:rPr>
        <w:t> </w:t>
      </w:r>
      <w:r w:rsidR="005A6E02">
        <w:rPr>
          <w:rFonts w:ascii="Georgia" w:hAnsi="Georgia"/>
        </w:rPr>
        <w:t xml:space="preserve">dostępem do </w:t>
      </w:r>
      <w:r w:rsidR="00A855D7">
        <w:rPr>
          <w:rFonts w:ascii="Georgia" w:hAnsi="Georgia"/>
        </w:rPr>
        <w:t>Internetu.</w:t>
      </w:r>
    </w:p>
    <w:p w14:paraId="54651026" w14:textId="3740F18F" w:rsidR="009942F5" w:rsidRPr="00A855D7" w:rsidRDefault="009942F5" w:rsidP="00A855D7">
      <w:pPr>
        <w:spacing w:line="360" w:lineRule="auto"/>
        <w:rPr>
          <w:rFonts w:ascii="Georgia" w:hAnsi="Georgia"/>
          <w:b/>
          <w:bCs/>
        </w:rPr>
      </w:pPr>
      <w:r w:rsidRPr="00A855D7">
        <w:rPr>
          <w:rFonts w:ascii="Georgia" w:hAnsi="Georgia"/>
          <w:b/>
          <w:bCs/>
        </w:rPr>
        <w:t xml:space="preserve">Zadanie 1. </w:t>
      </w:r>
    </w:p>
    <w:p w14:paraId="307D7645" w14:textId="6E341E3B" w:rsidR="009942F5" w:rsidRPr="00A855D7" w:rsidRDefault="009942F5" w:rsidP="00A855D7">
      <w:pPr>
        <w:spacing w:line="360" w:lineRule="auto"/>
        <w:rPr>
          <w:rFonts w:ascii="Georgia" w:hAnsi="Georgia"/>
          <w:b/>
          <w:bCs/>
        </w:rPr>
      </w:pPr>
      <w:r w:rsidRPr="00A855D7">
        <w:rPr>
          <w:rFonts w:ascii="Georgia" w:hAnsi="Georgia"/>
          <w:b/>
          <w:bCs/>
        </w:rPr>
        <w:t>Pytanie otwarte:</w:t>
      </w:r>
    </w:p>
    <w:p w14:paraId="1357C4A8" w14:textId="6A3D8969" w:rsidR="009942F5" w:rsidRDefault="009942F5" w:rsidP="00A855D7">
      <w:pPr>
        <w:spacing w:line="360" w:lineRule="auto"/>
        <w:ind w:firstLine="697"/>
        <w:jc w:val="both"/>
        <w:rPr>
          <w:rFonts w:ascii="Georgia" w:hAnsi="Georgia"/>
        </w:rPr>
      </w:pPr>
      <w:r>
        <w:rPr>
          <w:rFonts w:ascii="Georgia" w:hAnsi="Georgia"/>
        </w:rPr>
        <w:t>Na samym początku należy zadać pytanie uczniom w kwestii kojarzenia praw dziecka w ogóle. Tutaj nie ma złych odpowiedzi, każdą należy zapisać na tablicy jako skojarzenie.  Powtórzenie każdej odpowiedzi pomoże uczniom lepiej zapamiętującym treści za pomocą słuchu (słuchowcom), a zapisanie na tablicy tym, którym zobaczenie słowa ułatwia naukę (wzrokowcom). Zapełnienie tablicy skojarzeniami zwiększy też pewność siebie grupy, pokaże, że już dysponuje pewną wiedzą, nawet podświadomie.</w:t>
      </w:r>
    </w:p>
    <w:p w14:paraId="5BE59A8A" w14:textId="65B3CCC4" w:rsidR="009942F5" w:rsidRPr="00A855D7" w:rsidRDefault="009942F5" w:rsidP="00A855D7">
      <w:pPr>
        <w:spacing w:line="360" w:lineRule="auto"/>
        <w:jc w:val="both"/>
        <w:rPr>
          <w:rFonts w:ascii="Georgia" w:hAnsi="Georgia"/>
          <w:b/>
          <w:bCs/>
        </w:rPr>
      </w:pPr>
      <w:r w:rsidRPr="00A855D7">
        <w:rPr>
          <w:rFonts w:ascii="Georgia" w:hAnsi="Georgia"/>
          <w:b/>
          <w:bCs/>
        </w:rPr>
        <w:t xml:space="preserve">Zadanie 2. </w:t>
      </w:r>
    </w:p>
    <w:p w14:paraId="42D7F7B9" w14:textId="0E972557" w:rsidR="007C6D8B" w:rsidRPr="00A855D7" w:rsidRDefault="007C6D8B" w:rsidP="00A855D7">
      <w:pPr>
        <w:spacing w:line="360" w:lineRule="auto"/>
        <w:jc w:val="both"/>
        <w:rPr>
          <w:rFonts w:ascii="Georgia" w:hAnsi="Georgia"/>
          <w:b/>
          <w:bCs/>
        </w:rPr>
      </w:pPr>
      <w:r w:rsidRPr="00A855D7">
        <w:rPr>
          <w:rFonts w:ascii="Georgia" w:hAnsi="Georgia"/>
          <w:b/>
          <w:bCs/>
        </w:rPr>
        <w:t>Pytanie zamknięte</w:t>
      </w:r>
      <w:r w:rsidR="00A855D7" w:rsidRPr="00A855D7">
        <w:rPr>
          <w:rFonts w:ascii="Georgia" w:hAnsi="Georgia"/>
          <w:b/>
          <w:bCs/>
        </w:rPr>
        <w:t xml:space="preserve"> i prezentacja</w:t>
      </w:r>
      <w:r w:rsidRPr="00A855D7">
        <w:rPr>
          <w:rFonts w:ascii="Georgia" w:hAnsi="Georgia"/>
          <w:b/>
          <w:bCs/>
        </w:rPr>
        <w:t xml:space="preserve">: </w:t>
      </w:r>
    </w:p>
    <w:p w14:paraId="33480284" w14:textId="2BF9F2FE" w:rsidR="007C6D8B" w:rsidRDefault="007C6D8B" w:rsidP="00A855D7">
      <w:pPr>
        <w:spacing w:line="360" w:lineRule="auto"/>
        <w:ind w:firstLine="697"/>
        <w:jc w:val="both"/>
        <w:rPr>
          <w:rFonts w:ascii="Georgia" w:hAnsi="Georgia"/>
        </w:rPr>
      </w:pPr>
      <w:r>
        <w:rPr>
          <w:rFonts w:ascii="Georgia" w:hAnsi="Georgia"/>
        </w:rPr>
        <w:t xml:space="preserve">Po części otwartej należy wyciąć prawa będące poniżej, zwinąć i włożyć do worka. Praw w ćwiczeniu jest </w:t>
      </w:r>
      <w:r w:rsidR="00A855D7">
        <w:rPr>
          <w:rFonts w:ascii="Georgia" w:hAnsi="Georgia"/>
        </w:rPr>
        <w:t>12</w:t>
      </w:r>
      <w:r>
        <w:rPr>
          <w:rFonts w:ascii="Georgia" w:hAnsi="Georgia"/>
        </w:rPr>
        <w:t>, więc w przypadku mniejszej grupy można zrobić podział (sprawiając</w:t>
      </w:r>
      <w:r w:rsidR="00A855D7">
        <w:rPr>
          <w:rFonts w:ascii="Georgia" w:hAnsi="Georgia"/>
        </w:rPr>
        <w:t>y</w:t>
      </w:r>
      <w:r>
        <w:rPr>
          <w:rFonts w:ascii="Georgia" w:hAnsi="Georgia"/>
        </w:rPr>
        <w:t>, żeby każda grupa miała</w:t>
      </w:r>
      <w:r w:rsidR="00A855D7">
        <w:rPr>
          <w:rFonts w:ascii="Georgia" w:hAnsi="Georgia"/>
        </w:rPr>
        <w:t xml:space="preserve"> proporcjonalną ilość praw do omówienia</w:t>
      </w:r>
      <w:r>
        <w:rPr>
          <w:rFonts w:ascii="Georgia" w:hAnsi="Georgia"/>
        </w:rPr>
        <w:t xml:space="preserve">. (wykaz za </w:t>
      </w:r>
      <w:hyperlink r:id="rId5" w:history="1">
        <w:r w:rsidRPr="006E5405">
          <w:rPr>
            <w:rStyle w:val="Hipercze"/>
            <w:rFonts w:ascii="Georgia" w:hAnsi="Georgia"/>
          </w:rPr>
          <w:t>https://www.gov.pl/web/rodzina/konwencja-o-prawach-dziecka</w:t>
        </w:r>
      </w:hyperlink>
      <w:r>
        <w:rPr>
          <w:rFonts w:ascii="Georgia" w:hAnsi="Georgia"/>
        </w:rPr>
        <w:t>)</w:t>
      </w:r>
      <w:r w:rsidR="00A855D7">
        <w:rPr>
          <w:rFonts w:ascii="Georgia" w:hAnsi="Georgia"/>
        </w:rPr>
        <w:t>:</w:t>
      </w:r>
    </w:p>
    <w:p w14:paraId="021D3DB8" w14:textId="77777777" w:rsidR="007C6D8B" w:rsidRPr="00561BDF" w:rsidRDefault="007C6D8B" w:rsidP="00A855D7">
      <w:pPr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561BDF">
        <w:rPr>
          <w:rFonts w:ascii="Georgia" w:hAnsi="Georgia"/>
        </w:rPr>
        <w:t>prawo do życia i rozwoju, do tożsamości, obywatelstwa,</w:t>
      </w:r>
    </w:p>
    <w:p w14:paraId="36D56F3F" w14:textId="77777777" w:rsidR="007C6D8B" w:rsidRPr="00561BDF" w:rsidRDefault="007C6D8B" w:rsidP="00A855D7">
      <w:pPr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561BDF">
        <w:rPr>
          <w:rFonts w:ascii="Georgia" w:hAnsi="Georgia"/>
        </w:rPr>
        <w:t>prawo swobody myśli, sumienia i wyznania, wyrażania poglądów, w tym w postępowaniu administracyjnym i sądowym,</w:t>
      </w:r>
    </w:p>
    <w:p w14:paraId="35198E98" w14:textId="77777777" w:rsidR="007C6D8B" w:rsidRPr="00561BDF" w:rsidRDefault="007C6D8B" w:rsidP="00A855D7">
      <w:pPr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561BDF">
        <w:rPr>
          <w:rFonts w:ascii="Georgia" w:hAnsi="Georgia"/>
        </w:rPr>
        <w:t>prawo do ochrony życia prywatnego, rodzinnego, domowego, tajemnicy korespondencji</w:t>
      </w:r>
    </w:p>
    <w:p w14:paraId="30802B5F" w14:textId="77777777" w:rsidR="007C6D8B" w:rsidRPr="00561BDF" w:rsidRDefault="007C6D8B" w:rsidP="00A855D7">
      <w:pPr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561BDF">
        <w:rPr>
          <w:rFonts w:ascii="Georgia" w:hAnsi="Georgia"/>
        </w:rPr>
        <w:lastRenderedPageBreak/>
        <w:t>prawo do wychowania w rodzinie i kontaktów z rodzicami w przypadku rozłączenia z nimi, prawo poznania rodziców, jeżeli to możliwe,</w:t>
      </w:r>
    </w:p>
    <w:p w14:paraId="400CA04C" w14:textId="77777777" w:rsidR="007C6D8B" w:rsidRPr="00561BDF" w:rsidRDefault="007C6D8B" w:rsidP="00A855D7">
      <w:pPr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561BDF">
        <w:rPr>
          <w:rFonts w:ascii="Georgia" w:hAnsi="Georgia"/>
        </w:rPr>
        <w:t>prawo do wolności od tortur, poniżającego traktowania, przemocy fizycznej lub psychicznej, wyzysku, nadużyć seksualnych,</w:t>
      </w:r>
    </w:p>
    <w:p w14:paraId="3F6E53B5" w14:textId="77777777" w:rsidR="007C6D8B" w:rsidRPr="00561BDF" w:rsidRDefault="007C6D8B" w:rsidP="00A855D7">
      <w:pPr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561BDF">
        <w:rPr>
          <w:rFonts w:ascii="Georgia" w:hAnsi="Georgia"/>
        </w:rPr>
        <w:t>prawo do swobodnego zrzeszania się, pokojowych zgromadzeń,</w:t>
      </w:r>
    </w:p>
    <w:p w14:paraId="068E2744" w14:textId="77777777" w:rsidR="007C6D8B" w:rsidRPr="00561BDF" w:rsidRDefault="007C6D8B" w:rsidP="00A855D7">
      <w:pPr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561BDF">
        <w:rPr>
          <w:rFonts w:ascii="Georgia" w:hAnsi="Georgia"/>
        </w:rPr>
        <w:t>prawo do odpowiedniego do wieku i stopnia rozwoju traktowania w ramach postępowania karnego,</w:t>
      </w:r>
    </w:p>
    <w:p w14:paraId="16850D62" w14:textId="77777777" w:rsidR="007C6D8B" w:rsidRPr="00561BDF" w:rsidRDefault="007C6D8B" w:rsidP="00A855D7">
      <w:pPr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561BDF">
        <w:rPr>
          <w:rFonts w:ascii="Georgia" w:hAnsi="Georgia"/>
        </w:rPr>
        <w:t>prawa społeczne, w tym prawo do odpowiedniego standardu życia, opieki w instytucjach i zakładach, ochrony socjalnej, ochrony zdrowia, rehabilitacji społecznej i zdrowotnej,</w:t>
      </w:r>
    </w:p>
    <w:p w14:paraId="095F2C7E" w14:textId="77777777" w:rsidR="007C6D8B" w:rsidRPr="00561BDF" w:rsidRDefault="007C6D8B" w:rsidP="00A855D7">
      <w:pPr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561BDF">
        <w:rPr>
          <w:rFonts w:ascii="Georgia" w:hAnsi="Georgia"/>
        </w:rPr>
        <w:t>prawo do ochrony przed wyzyskiem ekonomicznym, podejmowaniem pracy w zbyt wczesnym wieku,</w:t>
      </w:r>
    </w:p>
    <w:p w14:paraId="233A809E" w14:textId="77777777" w:rsidR="007C6D8B" w:rsidRPr="00561BDF" w:rsidRDefault="007C6D8B" w:rsidP="00A855D7">
      <w:pPr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561BDF">
        <w:rPr>
          <w:rFonts w:ascii="Georgia" w:hAnsi="Georgia"/>
        </w:rPr>
        <w:t>prawo do wypoczynku i czasu wolnego,</w:t>
      </w:r>
    </w:p>
    <w:p w14:paraId="1664F2A3" w14:textId="77777777" w:rsidR="007C6D8B" w:rsidRPr="00561BDF" w:rsidRDefault="007C6D8B" w:rsidP="00A855D7">
      <w:pPr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561BDF">
        <w:rPr>
          <w:rFonts w:ascii="Georgia" w:hAnsi="Georgia"/>
        </w:rPr>
        <w:t>prawo dostępu do informacji i materiałów pochodzących z różnych źródeł,</w:t>
      </w:r>
    </w:p>
    <w:p w14:paraId="39BD0466" w14:textId="77777777" w:rsidR="007C6D8B" w:rsidRPr="00561BDF" w:rsidRDefault="007C6D8B" w:rsidP="00A855D7">
      <w:pPr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561BDF">
        <w:rPr>
          <w:rFonts w:ascii="Georgia" w:hAnsi="Georgia"/>
        </w:rPr>
        <w:t>prawa do nauki, w tym prawo do bezpłatnej i obowiązkowej nauki w zakresie szkoły podstawowej.</w:t>
      </w:r>
    </w:p>
    <w:p w14:paraId="06799A33" w14:textId="4741A0B4" w:rsidR="007C6D8B" w:rsidRDefault="007C6D8B" w:rsidP="00A855D7">
      <w:pPr>
        <w:spacing w:line="360" w:lineRule="auto"/>
        <w:ind w:firstLine="697"/>
        <w:jc w:val="both"/>
        <w:rPr>
          <w:rFonts w:ascii="Georgia" w:hAnsi="Georgia"/>
        </w:rPr>
      </w:pPr>
      <w:r>
        <w:rPr>
          <w:rFonts w:ascii="Georgia" w:hAnsi="Georgia"/>
        </w:rPr>
        <w:t>Po opróżnieniu się worka każda grupa ma 5 minut na przygotowanie krótkiej wypowiedzi jak rozumie swoje prawo. To ważne, żeby prowadzący nie poprawiał na tym etapie uczniów. Po upływie tego czasu grupy chodzą po klasie i próbują wytłumaczyć w dwustronnych dialogach innym grupom na czym polega ich prawo, powinno to przebiegać w formie konwersatoryjnej, żeby uczniowie czuli swobodę w</w:t>
      </w:r>
      <w:r w:rsidR="00A855D7">
        <w:rPr>
          <w:rFonts w:ascii="Georgia" w:hAnsi="Georgia"/>
        </w:rPr>
        <w:t> </w:t>
      </w:r>
      <w:r>
        <w:rPr>
          <w:rFonts w:ascii="Georgia" w:hAnsi="Georgia"/>
        </w:rPr>
        <w:t>mówieniu nowopoznanego pojęcia. W tym momencie nauczyciel też zaczyna chodzić po klasie i zadawać pytania do wypowiedzi poszczególnych grup. Najlepiej, żeby to były parafrazy wypowiedzi uczniów, wykazując jednoznacznie, że słucha ze zrozumieniem</w:t>
      </w:r>
      <w:r w:rsidR="00A855D7">
        <w:rPr>
          <w:rFonts w:ascii="Georgia" w:hAnsi="Georgia"/>
        </w:rPr>
        <w:t xml:space="preserve"> i bez oceniania</w:t>
      </w:r>
      <w:r>
        <w:rPr>
          <w:rFonts w:ascii="Georgia" w:hAnsi="Georgia"/>
        </w:rPr>
        <w:t xml:space="preserve">. Po 10 minutach rozmowy każda grupa prezentuje na forum swoje prawo i jednocześnie wskazuje, które prawo poza prezentowanym wydało im się bardzo ważne. Ta część jest niezwykle istotna, ponieważ zmusza także do słuchania swoich rówieśników ze zrozumieniem. </w:t>
      </w:r>
    </w:p>
    <w:p w14:paraId="63F524E6" w14:textId="1C042B0F" w:rsidR="007C6D8B" w:rsidRDefault="007C6D8B" w:rsidP="00A855D7">
      <w:pPr>
        <w:spacing w:line="360" w:lineRule="auto"/>
        <w:ind w:firstLine="697"/>
        <w:jc w:val="both"/>
        <w:rPr>
          <w:rFonts w:ascii="Georgia" w:hAnsi="Georgia"/>
        </w:rPr>
      </w:pPr>
      <w:r>
        <w:rPr>
          <w:rFonts w:ascii="Georgia" w:hAnsi="Georgia"/>
        </w:rPr>
        <w:t xml:space="preserve">Po wystąpieniu grupy nauczyciel tłumaczy jak należy rozumieć konkretne prawo i ewentualnie prostuje </w:t>
      </w:r>
      <w:r w:rsidR="005A6E02">
        <w:rPr>
          <w:rFonts w:ascii="Georgia" w:hAnsi="Georgia"/>
        </w:rPr>
        <w:t xml:space="preserve">niejasne kwestie. </w:t>
      </w:r>
    </w:p>
    <w:p w14:paraId="676C5005" w14:textId="77777777" w:rsidR="005A6E02" w:rsidRDefault="005A6E02" w:rsidP="00A855D7">
      <w:pPr>
        <w:spacing w:line="360" w:lineRule="auto"/>
        <w:jc w:val="both"/>
        <w:rPr>
          <w:rFonts w:ascii="Georgia" w:hAnsi="Georgia"/>
        </w:rPr>
      </w:pPr>
    </w:p>
    <w:p w14:paraId="03FF395C" w14:textId="3E17CC8E" w:rsidR="005A6E02" w:rsidRDefault="005A6E02" w:rsidP="00A855D7">
      <w:pPr>
        <w:spacing w:line="36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15 minut przerwy</w:t>
      </w:r>
    </w:p>
    <w:p w14:paraId="6B916C01" w14:textId="23B72224" w:rsidR="00A855D7" w:rsidRPr="00A855D7" w:rsidRDefault="00A855D7" w:rsidP="00A855D7">
      <w:pPr>
        <w:spacing w:line="360" w:lineRule="auto"/>
        <w:jc w:val="both"/>
        <w:rPr>
          <w:rFonts w:ascii="Georgia" w:hAnsi="Georgia"/>
          <w:b/>
          <w:bCs/>
        </w:rPr>
      </w:pPr>
      <w:r w:rsidRPr="00A855D7">
        <w:rPr>
          <w:rFonts w:ascii="Georgia" w:hAnsi="Georgia"/>
          <w:b/>
          <w:bCs/>
        </w:rPr>
        <w:t>Zadanie 3.</w:t>
      </w:r>
    </w:p>
    <w:p w14:paraId="63D87D46" w14:textId="57802ED4" w:rsidR="005A6E02" w:rsidRPr="005A6E02" w:rsidRDefault="005A6E02" w:rsidP="00A855D7">
      <w:pPr>
        <w:spacing w:line="360" w:lineRule="auto"/>
        <w:jc w:val="both"/>
        <w:rPr>
          <w:rFonts w:ascii="Georgia" w:hAnsi="Georgia"/>
          <w:b/>
          <w:bCs/>
        </w:rPr>
      </w:pPr>
      <w:r w:rsidRPr="005A6E02">
        <w:rPr>
          <w:rFonts w:ascii="Georgia" w:hAnsi="Georgia"/>
          <w:b/>
          <w:bCs/>
        </w:rPr>
        <w:t>Prawnicze kalambury</w:t>
      </w:r>
    </w:p>
    <w:p w14:paraId="77C0AC78" w14:textId="2ED8874D" w:rsidR="005A6E02" w:rsidRPr="005A6E02" w:rsidRDefault="005A6E02" w:rsidP="00A855D7">
      <w:pPr>
        <w:spacing w:line="360" w:lineRule="auto"/>
        <w:ind w:firstLine="697"/>
        <w:jc w:val="both"/>
        <w:rPr>
          <w:rFonts w:ascii="Georgia" w:hAnsi="Georgia"/>
        </w:rPr>
      </w:pPr>
      <w:r>
        <w:rPr>
          <w:rFonts w:ascii="Georgia" w:hAnsi="Georgia"/>
        </w:rPr>
        <w:t>Po przerwie uczniowie wzbogaceni o intuicyjne rozumienie prawa pozostając w</w:t>
      </w:r>
      <w:r w:rsidR="00A855D7">
        <w:rPr>
          <w:rFonts w:ascii="Georgia" w:hAnsi="Georgia"/>
        </w:rPr>
        <w:t> </w:t>
      </w:r>
      <w:r>
        <w:rPr>
          <w:rFonts w:ascii="Georgia" w:hAnsi="Georgia"/>
        </w:rPr>
        <w:t xml:space="preserve">grupach. Nauczyciel po kolei prosi grupy o wyjście z klasy, w celu wylosowania jednego z kamieni. Jeden kolor oznaczyć będzie wymyślenie sytuacji w której złamano prawa dziecka, a drugi brak złamania. Związanie z kolorem, aspekt zgadywania i konieczność myślenia nieszablonowego zaangażuje uczniów do pracy nad zadaniem. </w:t>
      </w:r>
      <w:r w:rsidR="00A855D7">
        <w:rPr>
          <w:rFonts w:ascii="Georgia" w:hAnsi="Georgia"/>
        </w:rPr>
        <w:t xml:space="preserve">Grupy powinny mieć 15 minut na przygotowanie. </w:t>
      </w:r>
      <w:r>
        <w:rPr>
          <w:rFonts w:ascii="Georgia" w:hAnsi="Georgia"/>
        </w:rPr>
        <w:t>Po zakończeniu konkretnej prezentacji danego prawa pozostałe grupy głosują czy jest to naruszenie praw dziecka czy nie</w:t>
      </w:r>
      <w:r w:rsidR="00A855D7">
        <w:rPr>
          <w:rFonts w:ascii="Georgia" w:hAnsi="Georgia"/>
        </w:rPr>
        <w:t xml:space="preserve">. </w:t>
      </w:r>
      <w:r>
        <w:rPr>
          <w:rFonts w:ascii="Georgia" w:hAnsi="Georgia"/>
        </w:rPr>
        <w:t>Grupa prezentująca stwierdza jaki mieli kamień, a</w:t>
      </w:r>
      <w:r w:rsidR="00A855D7">
        <w:rPr>
          <w:rFonts w:ascii="Georgia" w:hAnsi="Georgia"/>
        </w:rPr>
        <w:t> </w:t>
      </w:r>
      <w:r>
        <w:rPr>
          <w:rFonts w:ascii="Georgia" w:hAnsi="Georgia"/>
        </w:rPr>
        <w:t>nauczyciel ocenia czy zadanie zostało wykonane prawidłowo, ewentualnie tłumacząc, dlaczego w kwestii danego prawa rozumienie jest inne. Jeżeli nauczyciel potwierdził naruszenie, pokazuje jak na stronie Rzecznika Praw Dziecka odnaleźć zakładkę „kontakt” [</w:t>
      </w:r>
      <w:r w:rsidRPr="005A6E02">
        <w:rPr>
          <w:rFonts w:ascii="Georgia" w:hAnsi="Georgia"/>
        </w:rPr>
        <w:t>https://brpd.gov.pl/kontakt/</w:t>
      </w:r>
      <w:r>
        <w:rPr>
          <w:rFonts w:ascii="Georgia" w:hAnsi="Georgia"/>
        </w:rPr>
        <w:t xml:space="preserve">], żeby w przypadku prawdziwego zagrożenia uczniowie wiedzieli gdzie szukać pomocy. Należy jednoznacznie pouczyć uczniów o  powadze tego organu i bezwzględnym zakazie </w:t>
      </w:r>
      <w:r w:rsidR="00A855D7">
        <w:rPr>
          <w:rFonts w:ascii="Georgia" w:hAnsi="Georgia"/>
        </w:rPr>
        <w:t>kontaktowania</w:t>
      </w:r>
      <w:r>
        <w:rPr>
          <w:rFonts w:ascii="Georgia" w:hAnsi="Georgia"/>
        </w:rPr>
        <w:t xml:space="preserve"> się z Rzecznikiem „na żarty”.</w:t>
      </w:r>
    </w:p>
    <w:sectPr w:rsidR="005A6E02" w:rsidRPr="005A6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55EC049F"/>
    <w:multiLevelType w:val="multilevel"/>
    <w:tmpl w:val="0F20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00359"/>
    <w:multiLevelType w:val="hybridMultilevel"/>
    <w:tmpl w:val="31C2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 w16cid:durableId="1591935951">
    <w:abstractNumId w:val="2"/>
  </w:num>
  <w:num w:numId="5" w16cid:durableId="1872259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F5"/>
    <w:rsid w:val="00205F93"/>
    <w:rsid w:val="00280931"/>
    <w:rsid w:val="005A6E02"/>
    <w:rsid w:val="00780A88"/>
    <w:rsid w:val="007C6D8B"/>
    <w:rsid w:val="009942F5"/>
    <w:rsid w:val="00A855D7"/>
    <w:rsid w:val="00D31B1A"/>
    <w:rsid w:val="00F8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22EF"/>
  <w15:chartTrackingRefBased/>
  <w15:docId w15:val="{57643F71-D136-4B9A-BD09-6A015D75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4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2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2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2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2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2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2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2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2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2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2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2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2F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C6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odzina/konwencja-o-prawach-dziec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Kozłowski</dc:creator>
  <cp:keywords/>
  <dc:description/>
  <cp:lastModifiedBy>Marcin Kozłowski</cp:lastModifiedBy>
  <cp:revision>1</cp:revision>
  <dcterms:created xsi:type="dcterms:W3CDTF">2025-12-22T12:20:00Z</dcterms:created>
  <dcterms:modified xsi:type="dcterms:W3CDTF">2025-12-22T13:00:00Z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b3089f64-c19e-41b7-9d46-3235046443c2</vt:lpwstr>
  </property>
</Properties>
</file>